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D1AFA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山东药玻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海外建厂项目设计招标文件</w:t>
      </w:r>
    </w:p>
    <w:p w14:paraId="3A2CD1ED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第一部分 投标邀请书</w:t>
      </w:r>
    </w:p>
    <w:p w14:paraId="4FDFCF2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山东省药用玻璃股份有限公司现邀请合格的投标商就山东药玻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海外建厂项目设计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进行密封投标。标书编号SDYB2026-04-24/049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具体内容如下：</w:t>
      </w:r>
    </w:p>
    <w:p w14:paraId="6EDE59A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一、项目名称: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马来西亚SPG高档药用玻璃瓶项目</w:t>
      </w:r>
    </w:p>
    <w:p w14:paraId="0A706B5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二、项目地点: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马来西亚雪兰莪州GRIP工业园</w:t>
      </w:r>
    </w:p>
    <w:p w14:paraId="42BBEF23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三、项目性质：</w:t>
      </w:r>
    </w:p>
    <w:p w14:paraId="6EE1A5B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工业生产厂房（含生产车间、原料/成品仓库、辅助用房、办公配套等）</w:t>
      </w:r>
    </w:p>
    <w:p w14:paraId="6C57451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四、项目规模：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总用地面积约15.62英亩（63214平方米），总建筑面积约36000㎡，结构形式为混合结构与钢结构；设计产能及生产工艺类型：[简述生产品类、核心工艺流程、产能规模]，CNC受限厂房、配套建设给排水、电气、消防、环保、暖通、厂区管网、网络、监控等附属工程。</w:t>
      </w:r>
    </w:p>
    <w:p w14:paraId="46E5F0D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五、项目定位：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符合马来西亚当地工业建设、环保、消防、安全规范标准，工艺设计布局、设备配置安装（天然气、压力容器符合ASME标准）、物流流转顺畅，后期扩展留有空间，完成全流程合规报批与设计交付。</w:t>
      </w:r>
    </w:p>
    <w:p w14:paraId="1B89D33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六、招标范围</w:t>
      </w:r>
    </w:p>
    <w:p w14:paraId="3CFF1CD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本次招标涵盖工厂工艺设计+土建设计全阶段设计及技术配合服务，具体范围如下：</w:t>
      </w:r>
    </w:p>
    <w:p w14:paraId="3E71327A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（一）工艺设计范围 </w:t>
      </w:r>
    </w:p>
    <w:p w14:paraId="09D7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 依据生产产能、工艺流程、设备参数，完成生产车间工艺布局规划、设备点位排布、物流动线设计、作业分区规划、工艺管线走向设计。</w:t>
      </w:r>
    </w:p>
    <w:p w14:paraId="5F207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 编制工艺设计说明、工艺设备清单、工艺系统方案，配合设备进场、安装、调试的工艺技术对接。</w:t>
      </w:r>
    </w:p>
    <w:p w14:paraId="0BDE0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 工艺动线优化、生产安全防护设计、工艺能耗及环保节点设计，满足马来西亚生产合规与职业安全要求。</w:t>
      </w:r>
    </w:p>
    <w:p w14:paraId="1EBDC69B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（二）土建设计范围</w:t>
      </w:r>
    </w:p>
    <w:p w14:paraId="3160A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 方案设计：厂区总平面规划、建筑单体方案、结构方案、竖向设计、总图布局，出具方案设计文件。</w:t>
      </w:r>
    </w:p>
    <w:p w14:paraId="31C3F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 初步设计：完成建筑、结构、给排水、电气、消防、暖通、环保、厂区道路管网、CNC受限厂房等专业初步设计，编制初步设计文件及设计概算。</w:t>
      </w:r>
    </w:p>
    <w:p w14:paraId="05BE6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 施工图设计：出具全套施工图纸（含土建、结构、工艺基础、水电、消防、环保、防雷、厂区附属工程及CNC受限厂房等），图纸满足马来西亚当地报建、审图、施工、验收全流程要求。</w:t>
      </w:r>
    </w:p>
    <w:p w14:paraId="0DD44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 专项设计：含厂房设备基础、重载地面、防腐防潮、通风排烟、环保处理设施、消防系统、职业安全防护、CNC受限厂房等专项设计内容。</w:t>
      </w:r>
    </w:p>
    <w:p w14:paraId="43A372C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（三）全过程配套服务 </w:t>
      </w:r>
    </w:p>
    <w:p w14:paraId="1F292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1. 配合完成马来西亚当地项目报批：包括规划报批、消防（BOMBA）报审、环保（DOE/EIA）报批、地方议会审批、建设许可等全部官方审批手续，提供全套合规报批图纸及文件。 </w:t>
      </w:r>
    </w:p>
    <w:p w14:paraId="45355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 设计交底、现场技术指导、施工配合、设计变更、竣工验收等全周期技术服务。</w:t>
      </w:r>
    </w:p>
    <w:p w14:paraId="6E685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 负责全套设计成果的英文版译制，对接马来西亚当地注册专业人士，完成图纸签字、认证及合规签章，确保设计文件具备法定报批效力。</w:t>
      </w:r>
    </w:p>
    <w:p w14:paraId="3C3C6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4. 配合业主完成造价控制、图纸优化、合规核查等相关工作。 </w:t>
      </w:r>
    </w:p>
    <w:p w14:paraId="2AC6A66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七、投标人资格要求 </w:t>
      </w:r>
    </w:p>
    <w:p w14:paraId="562EE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 主体资格：投标人资质有建筑设计乙级资质以上，且满足结构跨度、高度对资质的要求。</w:t>
      </w:r>
    </w:p>
    <w:p w14:paraId="72EC7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 业绩要求：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评标优先考虑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近5年内有马来西亚境内同类工业厂房/海外工业项目工艺+土建设计业绩，需提供项目合同、设计成果、报批证明等有效佐证材料，具备完整海外项目设计及报批落地经验。</w:t>
      </w:r>
    </w:p>
    <w:p w14:paraId="19398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 团队要求：项目核心团队（设计负责人、工艺工程师、结构工程师、机电工程师）须具备工业厂房设计经验，熟悉马来西亚工程规范、报批流程、当地建设标准；主要人员需全程驻场/远程及时响应，不得随意更换。</w:t>
      </w:r>
    </w:p>
    <w:p w14:paraId="17486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 信誉要求：投标人未被列入失信名单、无重大设计质量事故、无违法违规执业记录，财务状况良好，具备履行本项目的资金与技术保障能力。</w:t>
      </w:r>
    </w:p>
    <w:p w14:paraId="73168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5. 其他要求：本项目接受符合要求的联合体投标，禁止分包、转包全部或部分设计工作；投标人须完全熟悉马来西亚工程建设相关法律法规及审批流程。 </w:t>
      </w:r>
    </w:p>
    <w:p w14:paraId="49BA5CF3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八、设计标准及合规要求</w:t>
      </w:r>
    </w:p>
    <w:p w14:paraId="13904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 设计必须严格执行马来西亚现行规范标准：包括但不限于UBBL 1984（统一建筑附例）、MS马来西亚标准、JKR（公共工程局）技术规范、BOMBA消防规范、DOE环保规范、职业安全健康（DOSH）相关要求；同时满足业主生产工艺、安全生产、运营管理需求；</w:t>
      </w:r>
    </w:p>
    <w:p w14:paraId="5BCA0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 结构设计优先采用英标及马来西亚当地结构规范，充分考虑马来西亚当地气候、地质、台风、降雨等自然条件，做好防水、防潮、防雷、通风设计；</w:t>
      </w:r>
    </w:p>
    <w:p w14:paraId="6B877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 环保设计需符合马来西亚《1974年环境质量法令》，按要求完成EIA环评相关设计支撑，满足废水、废气、噪音、固废处理合规要求；</w:t>
      </w:r>
    </w:p>
    <w:p w14:paraId="39076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 设计文件需采用国际通用计量单位，图纸格式、签章、说明符合马来西亚官方报批要求，全套图纸需经马来西亚注册专业工程师签字认证，具备法定效力；</w:t>
      </w:r>
    </w:p>
    <w:p w14:paraId="5B644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5. 设计遵循安全、实用、经济、合规原则，优化工艺布局与结构方案，控制建设成本，满足施工便捷性与投产时效性。 </w:t>
      </w:r>
    </w:p>
    <w:p w14:paraId="2DE2952E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九、设计成果及周期要求</w:t>
      </w:r>
    </w:p>
    <w:p w14:paraId="6E291CA4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（一）设计周期</w:t>
      </w:r>
    </w:p>
    <w:p w14:paraId="7A1F4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总设计周期：自合同签订之日起____日历天，分阶段交付： </w:t>
      </w:r>
    </w:p>
    <w:p w14:paraId="7BAB4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 方案设计阶段：____日历天，完成方案设计并通过业主及初步合规审核</w:t>
      </w:r>
    </w:p>
    <w:p w14:paraId="23522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 初步设计阶段：____日历天，完成初步设计及概算编制</w:t>
      </w:r>
    </w:p>
    <w:p w14:paraId="48795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 施工图设计阶段：____日历天，完成全套施工图设计并通过审图、具备报批条件</w:t>
      </w:r>
    </w:p>
    <w:p w14:paraId="1A1C6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 报批配合及后期服务：贯穿项目全周期，直至项目竣工验收完成。</w:t>
      </w:r>
    </w:p>
    <w:p w14:paraId="7E392ED7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（二）设计成果交付</w:t>
      </w:r>
    </w:p>
    <w:p w14:paraId="5FD30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 方案设计文件、初步设计文件、全套施工图设计文件（纸质版8套，电子版CAD+PDF格式各1套）；</w:t>
      </w:r>
    </w:p>
    <w:p w14:paraId="26270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 设计概算书、结构计算书、消防专项设计报告、环保设计说明、工艺设计说明书</w:t>
      </w:r>
    </w:p>
    <w:p w14:paraId="2367D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 报批专用全套签章文件、注册工程师资质证明、合规认证文件</w:t>
      </w:r>
    </w:p>
    <w:p w14:paraId="240FF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4. 设计交底资料、设计变更文件、竣工验收技术资料。 </w:t>
      </w:r>
    </w:p>
    <w:p w14:paraId="52233D03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十、投标文件编制要求</w:t>
      </w:r>
    </w:p>
    <w:p w14:paraId="2ACE9FA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投标人需按以下内容编制投标文件，密封提交，文件真实有效，加盖公司公章及法人签字：</w:t>
      </w:r>
    </w:p>
    <w:p w14:paraId="21906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 投标函及投标报价表（报价为固定总价，包含设计费、报批配合费、签章费、现场服务费、差旅费等全部相关费用）</w:t>
      </w:r>
    </w:p>
    <w:p w14:paraId="6179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 投标人营业执照、联合体协议（如有）</w:t>
      </w:r>
    </w:p>
    <w:p w14:paraId="2DDFF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 项目设计团队人员简历、马来西亚注册执业证书、职称证书、业绩证明；</w:t>
      </w:r>
    </w:p>
    <w:p w14:paraId="2F22B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 近5年同类马来西亚工业厂房设计业绩证明材料；</w:t>
      </w:r>
    </w:p>
    <w:p w14:paraId="6C786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 项目设计方案（含工艺设计思路、土建设计方案、合规报批方案、进度计划、服务承诺）；</w:t>
      </w:r>
    </w:p>
    <w:p w14:paraId="27F1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6. 设计质量保障、合规报批保障、后期服务承诺、保密承诺；</w:t>
      </w:r>
    </w:p>
    <w:p w14:paraId="04FC7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7. 投标人认为需补充的其他资质、业绩、技术文件。 </w:t>
      </w:r>
    </w:p>
    <w:p w14:paraId="5B7CC01F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十一、投标及开标安排 </w:t>
      </w:r>
    </w:p>
    <w:p w14:paraId="386D2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投标报名：确认参加投标后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请填写投标报名表发送到邮箱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1161965806@qq.com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。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报名截止时间为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开标前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天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如报名单位不足4家将通知委托代理人开标延后时间。</w:t>
      </w:r>
    </w:p>
    <w:tbl>
      <w:tblPr>
        <w:tblStyle w:val="6"/>
        <w:tblW w:w="380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1526"/>
        <w:gridCol w:w="1306"/>
        <w:gridCol w:w="1746"/>
      </w:tblGrid>
      <w:tr w14:paraId="6F47F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0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公司名称</w:t>
            </w: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A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委托代理人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D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1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72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参与投标项目</w:t>
            </w:r>
          </w:p>
        </w:tc>
      </w:tr>
      <w:tr w14:paraId="71F41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A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　</w:t>
            </w:r>
          </w:p>
        </w:tc>
        <w:tc>
          <w:tcPr>
            <w:tcW w:w="9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5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B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　</w:t>
            </w:r>
          </w:p>
        </w:tc>
        <w:tc>
          <w:tcPr>
            <w:tcW w:w="1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61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　</w:t>
            </w:r>
          </w:p>
        </w:tc>
      </w:tr>
      <w:tr w14:paraId="60DC7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C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公司介绍及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资料费回款回单</w:t>
            </w:r>
          </w:p>
        </w:tc>
        <w:tc>
          <w:tcPr>
            <w:tcW w:w="376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2D7C73">
            <w:pPr>
              <w:keepNext w:val="0"/>
              <w:keepLines w:val="0"/>
              <w:pageBreakBefore w:val="0"/>
              <w:widowControl w:val="0"/>
              <w:tabs>
                <w:tab w:val="left" w:pos="698"/>
                <w:tab w:val="center" w:pos="20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　</w:t>
            </w:r>
          </w:p>
        </w:tc>
      </w:tr>
    </w:tbl>
    <w:p w14:paraId="3A812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</w:rPr>
        <w:t>.</w:t>
      </w:r>
      <w:r>
        <w:rPr>
          <w:rFonts w:hint="eastAsia" w:ascii="宋体" w:hAnsi="宋体"/>
          <w:bCs/>
          <w:sz w:val="24"/>
          <w:szCs w:val="24"/>
        </w:rPr>
        <w:t>投标方必须购买本招标文件每份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Cs/>
          <w:sz w:val="24"/>
          <w:szCs w:val="24"/>
        </w:rPr>
        <w:t>00元，由投标方在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报名</w:t>
      </w:r>
      <w:r>
        <w:rPr>
          <w:rFonts w:hint="eastAsia" w:ascii="宋体" w:hAnsi="宋体"/>
          <w:bCs/>
          <w:sz w:val="24"/>
          <w:szCs w:val="24"/>
        </w:rPr>
        <w:t>前汇入招标方账号（山东省药用玻璃股份有限公司</w:t>
      </w:r>
      <w:r>
        <w:rPr>
          <w:sz w:val="24"/>
        </w:rPr>
        <w:t>1603008109022101362</w:t>
      </w:r>
      <w:r>
        <w:rPr>
          <w:rFonts w:hint="eastAsia" w:ascii="宋体" w:hAnsi="宋体"/>
          <w:bCs/>
          <w:sz w:val="24"/>
          <w:szCs w:val="24"/>
        </w:rPr>
        <w:t>工行沂源县支行</w:t>
      </w:r>
      <w:r>
        <w:rPr>
          <w:rFonts w:hint="eastAsia"/>
          <w:sz w:val="24"/>
        </w:rPr>
        <w:t>，并备注为投标资料费</w:t>
      </w:r>
      <w:r>
        <w:rPr>
          <w:rFonts w:hint="eastAsia" w:ascii="宋体" w:hAnsi="宋体"/>
          <w:bCs/>
          <w:sz w:val="24"/>
          <w:szCs w:val="24"/>
        </w:rPr>
        <w:t>），不论是否中标，此费用不予退还。</w:t>
      </w:r>
    </w:p>
    <w:p w14:paraId="43E11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现场勘查：投标人自行前往马来西亚项目现场勘查，费用自理，充分了解场地、地质、周边环境及当地政策；</w:t>
      </w:r>
    </w:p>
    <w:p w14:paraId="51ED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开标时间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地点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:00（北京时间）山东省药用玻璃股份有限公司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总厂办公楼三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楼会议室。</w:t>
      </w:r>
    </w:p>
    <w:p w14:paraId="63713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投标文件递交：邮寄标书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递交。现场一轮报价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后留20分钟左右交流时间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交流结束后现场递交二轮报价。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邮寄标书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不参与二轮报价。邮寄标书签收截止时间为2026年4月23日17:00</w:t>
      </w:r>
      <w:bookmarkStart w:id="1" w:name="_GoBack"/>
      <w:bookmarkEnd w:id="1"/>
    </w:p>
    <w:p w14:paraId="47D06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邮寄标书收件人：山东省淄博市沂源县药玻路1号  山东药玻法审处 王共昌收18560875005</w:t>
      </w:r>
    </w:p>
    <w:p w14:paraId="5CA2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.</w:t>
      </w:r>
      <w:r>
        <w:rPr>
          <w:rFonts w:hint="eastAsia" w:ascii="宋体" w:hAnsi="宋体"/>
          <w:bCs/>
          <w:sz w:val="24"/>
          <w:szCs w:val="24"/>
        </w:rPr>
        <w:t>为了规避投标风险，严肃投标流程。投标单位需向招标方提交10000元作为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投标</w:t>
      </w:r>
      <w:r>
        <w:rPr>
          <w:rFonts w:hint="eastAsia" w:ascii="宋体" w:hAnsi="宋体"/>
          <w:bCs/>
          <w:sz w:val="24"/>
          <w:szCs w:val="24"/>
        </w:rPr>
        <w:t>保证金。投标方在开标前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sz w:val="24"/>
          <w:szCs w:val="24"/>
        </w:rPr>
        <w:t>天汇入招标方账号（山东省药用玻璃股份有限公司</w:t>
      </w:r>
      <w:r>
        <w:rPr>
          <w:sz w:val="24"/>
        </w:rPr>
        <w:t>1603008109022101362</w:t>
      </w:r>
      <w:r>
        <w:rPr>
          <w:rFonts w:hint="eastAsia" w:ascii="宋体" w:hAnsi="宋体"/>
          <w:bCs/>
          <w:sz w:val="24"/>
          <w:szCs w:val="24"/>
        </w:rPr>
        <w:t>工行沂源县支行</w:t>
      </w:r>
      <w:r>
        <w:rPr>
          <w:rFonts w:hint="eastAsia"/>
          <w:sz w:val="24"/>
        </w:rPr>
        <w:t>，并备注为投标保证金。</w:t>
      </w:r>
      <w:r>
        <w:rPr>
          <w:rFonts w:hint="eastAsia"/>
          <w:b/>
          <w:sz w:val="24"/>
        </w:rPr>
        <w:t>保证金与资料费需分别转账</w:t>
      </w:r>
      <w:r>
        <w:rPr>
          <w:rFonts w:hint="eastAsia" w:ascii="宋体" w:hAnsi="宋体"/>
          <w:bCs/>
          <w:sz w:val="24"/>
          <w:szCs w:val="24"/>
        </w:rPr>
        <w:t>）。定标后，</w:t>
      </w:r>
      <w:r>
        <w:rPr>
          <w:rFonts w:hint="eastAsia" w:ascii="宋体" w:hAnsi="宋体"/>
          <w:sz w:val="24"/>
          <w:szCs w:val="24"/>
        </w:rPr>
        <w:t>未中标的退还保证金，不计利息；中标后撤标的、不及时签订合同的、未按</w:t>
      </w:r>
      <w:r>
        <w:rPr>
          <w:rFonts w:hint="eastAsia" w:ascii="宋体" w:hAnsi="宋体"/>
          <w:sz w:val="24"/>
          <w:szCs w:val="24"/>
          <w:lang w:val="en-US" w:eastAsia="zh-CN"/>
        </w:rPr>
        <w:t>招标文件</w:t>
      </w:r>
      <w:r>
        <w:rPr>
          <w:rFonts w:hint="eastAsia" w:ascii="宋体" w:hAnsi="宋体"/>
          <w:sz w:val="24"/>
          <w:szCs w:val="24"/>
        </w:rPr>
        <w:t xml:space="preserve">签订合同的，均视为违约，没收投标保证金。 </w:t>
      </w:r>
    </w:p>
    <w:p w14:paraId="62408D7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十二、其他约定 </w:t>
      </w:r>
    </w:p>
    <w:p w14:paraId="6BB29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 中标人需全程负责设计文件合规签章、报批对接，确保图纸顺利通过马来西亚官方审批，因设计不合规导致的报批延误、整改费用由中标人承担；</w:t>
      </w:r>
    </w:p>
    <w:p w14:paraId="27EF1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 中标人需严格遵守马来西亚当地法律法规，保守业主商业及技术秘密；</w:t>
      </w:r>
    </w:p>
    <w:p w14:paraId="6CE3B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 中标人需在中标通知书发出后15日内，与招标人签订正式设计服务合同；</w:t>
      </w:r>
    </w:p>
    <w:p w14:paraId="7D27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 招标人有权根据项目实际情况，调整设计范围及进度安排，投标人需予以配合；</w:t>
      </w:r>
    </w:p>
    <w:p w14:paraId="691CA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 本招标要求最终解释权归招标人所有，未尽事宜另行协商。</w:t>
      </w:r>
    </w:p>
    <w:p w14:paraId="663ACB2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十三、联系方式 </w:t>
      </w:r>
    </w:p>
    <w:p w14:paraId="6220A04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地址：山东省淄博市沂源县城药玻路1号。</w:t>
      </w:r>
    </w:p>
    <w:p w14:paraId="4FE4805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邮编：256100                           </w:t>
      </w:r>
    </w:p>
    <w:p w14:paraId="560532A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电话：0533-3259015</w:t>
      </w:r>
    </w:p>
    <w:p w14:paraId="3CA48AA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传真：0533-3243376                     </w:t>
      </w:r>
    </w:p>
    <w:p w14:paraId="4260376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商务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spacing w:val="0"/>
          <w:kern w:val="0"/>
          <w:sz w:val="24"/>
          <w:szCs w:val="24"/>
          <w:fitText w:val="720" w:id="1959553598"/>
        </w:rPr>
        <w:t>王共昌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18560875005</w:t>
      </w:r>
    </w:p>
    <w:p w14:paraId="6EBE2046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技术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bookmarkStart w:id="0" w:name="OLE_LINK1"/>
      <w:r>
        <w:rPr>
          <w:rFonts w:hint="eastAsia" w:ascii="宋体" w:hAnsi="宋体" w:cs="宋体"/>
          <w:color w:val="auto"/>
          <w:spacing w:val="120"/>
          <w:kern w:val="0"/>
          <w:sz w:val="24"/>
          <w:szCs w:val="24"/>
          <w:fitText w:val="720" w:id="1848395152"/>
          <w:lang w:val="en-US" w:eastAsia="zh-CN"/>
        </w:rPr>
        <w:t>赵</w:t>
      </w:r>
      <w:r>
        <w:rPr>
          <w:rFonts w:hint="eastAsia" w:ascii="宋体" w:hAnsi="宋体" w:cs="宋体"/>
          <w:color w:val="auto"/>
          <w:spacing w:val="0"/>
          <w:kern w:val="0"/>
          <w:sz w:val="24"/>
          <w:szCs w:val="24"/>
          <w:fitText w:val="720" w:id="1848395152"/>
          <w:lang w:val="en-US" w:eastAsia="zh-CN"/>
        </w:rPr>
        <w:t>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18866633785</w:t>
      </w:r>
    </w:p>
    <w:bookmarkEnd w:id="0"/>
    <w:p w14:paraId="14CA93F5">
      <w:pPr>
        <w:spacing w:line="360" w:lineRule="auto"/>
        <w:ind w:firstLine="5640" w:firstLineChars="235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E580D1B">
      <w:pPr>
        <w:spacing w:line="360" w:lineRule="auto"/>
        <w:ind w:firstLine="5640" w:firstLineChars="235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136A69C">
      <w:pPr>
        <w:spacing w:line="360" w:lineRule="auto"/>
        <w:ind w:firstLine="5640" w:firstLineChars="235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6C56505">
      <w:pPr>
        <w:spacing w:line="360" w:lineRule="auto"/>
        <w:ind w:firstLine="5640" w:firstLineChars="235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7569AE1">
      <w:pPr>
        <w:spacing w:line="360" w:lineRule="auto"/>
        <w:ind w:firstLine="3960" w:firstLineChars="16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山东省药用玻璃股份有限公司</w:t>
      </w:r>
    </w:p>
    <w:p w14:paraId="24A7FD45">
      <w:pPr>
        <w:spacing w:line="360" w:lineRule="auto"/>
        <w:ind w:firstLine="4680" w:firstLineChars="195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</w:rPr>
        <w:t xml:space="preserve">  </w:t>
      </w:r>
    </w:p>
    <w:p w14:paraId="1E359FDC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br w:type="page"/>
      </w:r>
    </w:p>
    <w:p w14:paraId="542E32E0">
      <w:pPr>
        <w:spacing w:line="360" w:lineRule="auto"/>
        <w:ind w:firstLine="4095" w:firstLineChars="1950"/>
        <w:rPr>
          <w:rFonts w:hint="eastAsia" w:ascii="宋体" w:hAnsi="宋体" w:eastAsia="宋体" w:cs="宋体"/>
          <w:color w:val="auto"/>
        </w:rPr>
      </w:pPr>
    </w:p>
    <w:p w14:paraId="4A98B461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第二部分 授权委托书</w:t>
      </w:r>
    </w:p>
    <w:p w14:paraId="5DBA5398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 w14:paraId="7E6606FE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 w14:paraId="2D1B629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兹授权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全权代表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（单位名称）参加山东省药用玻璃股份有限公司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招标活动，全权处理招标活动中的一切事宜。授权期限：        年   月   日   至   年   月   日</w:t>
      </w:r>
    </w:p>
    <w:p w14:paraId="6F62039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018165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法定代表人（签字）：                         单位名称（公章）：   </w:t>
      </w:r>
    </w:p>
    <w:p w14:paraId="20CA5780">
      <w:pPr>
        <w:spacing w:line="360" w:lineRule="auto"/>
        <w:ind w:firstLine="1320" w:firstLineChars="55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474DB2E">
      <w:pPr>
        <w:spacing w:line="360" w:lineRule="auto"/>
        <w:ind w:firstLine="5520" w:firstLineChars="2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年   月   日</w:t>
      </w:r>
    </w:p>
    <w:p w14:paraId="44412C1F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327" w:right="1746" w:bottom="1327" w:left="1746" w:header="851" w:footer="737" w:gutter="0"/>
      <w:pgNumType w:start="1"/>
      <w:cols w:space="720" w:num="1"/>
      <w:titlePg/>
      <w:docGrid w:type="lines" w:linePitch="32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9ED87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754284FE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03FCA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B256A7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F002F">
    <w:pPr>
      <w:pStyle w:val="4"/>
      <w:tabs>
        <w:tab w:val="left" w:pos="4755"/>
        <w:tab w:val="clear" w:pos="4153"/>
        <w:tab w:val="clear" w:pos="8306"/>
      </w:tabs>
    </w:pPr>
    <w:r>
      <w:tab/>
    </w:r>
    <w:r>
      <w:rPr>
        <w:rFonts w:hint="eastAsia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5"/>
  <w:drawingGridHorizontalSpacing w:val="189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72A27"/>
    <w:rsid w:val="00064ED4"/>
    <w:rsid w:val="00071B3F"/>
    <w:rsid w:val="0007475F"/>
    <w:rsid w:val="000B365B"/>
    <w:rsid w:val="000D1850"/>
    <w:rsid w:val="000D56F6"/>
    <w:rsid w:val="000E7DBB"/>
    <w:rsid w:val="000F1133"/>
    <w:rsid w:val="000F325E"/>
    <w:rsid w:val="00123AF8"/>
    <w:rsid w:val="00127E82"/>
    <w:rsid w:val="00144739"/>
    <w:rsid w:val="001461FF"/>
    <w:rsid w:val="00155063"/>
    <w:rsid w:val="00172A27"/>
    <w:rsid w:val="00172CFE"/>
    <w:rsid w:val="00186E79"/>
    <w:rsid w:val="001911B3"/>
    <w:rsid w:val="001B1112"/>
    <w:rsid w:val="001C63EC"/>
    <w:rsid w:val="001D09B4"/>
    <w:rsid w:val="001E33E6"/>
    <w:rsid w:val="00216079"/>
    <w:rsid w:val="0021733E"/>
    <w:rsid w:val="00236A57"/>
    <w:rsid w:val="002662E4"/>
    <w:rsid w:val="00283C1B"/>
    <w:rsid w:val="00290457"/>
    <w:rsid w:val="00292FCF"/>
    <w:rsid w:val="00294FC0"/>
    <w:rsid w:val="002973EE"/>
    <w:rsid w:val="002B3049"/>
    <w:rsid w:val="002C535E"/>
    <w:rsid w:val="002D4496"/>
    <w:rsid w:val="002E41E3"/>
    <w:rsid w:val="002E6A2D"/>
    <w:rsid w:val="00306A73"/>
    <w:rsid w:val="0031078E"/>
    <w:rsid w:val="00312890"/>
    <w:rsid w:val="00323E5B"/>
    <w:rsid w:val="00327679"/>
    <w:rsid w:val="00345781"/>
    <w:rsid w:val="00361020"/>
    <w:rsid w:val="0039053D"/>
    <w:rsid w:val="00391DC2"/>
    <w:rsid w:val="003B0938"/>
    <w:rsid w:val="003B71D7"/>
    <w:rsid w:val="003D2625"/>
    <w:rsid w:val="003D6458"/>
    <w:rsid w:val="003E3094"/>
    <w:rsid w:val="003E4C43"/>
    <w:rsid w:val="003E5E33"/>
    <w:rsid w:val="00423E61"/>
    <w:rsid w:val="00426C60"/>
    <w:rsid w:val="00427B48"/>
    <w:rsid w:val="00431199"/>
    <w:rsid w:val="004313BE"/>
    <w:rsid w:val="004352C9"/>
    <w:rsid w:val="0043644B"/>
    <w:rsid w:val="00443153"/>
    <w:rsid w:val="00465DCA"/>
    <w:rsid w:val="00467BD0"/>
    <w:rsid w:val="00491627"/>
    <w:rsid w:val="004A41FE"/>
    <w:rsid w:val="00500A34"/>
    <w:rsid w:val="00511243"/>
    <w:rsid w:val="00532084"/>
    <w:rsid w:val="00547F70"/>
    <w:rsid w:val="0058236E"/>
    <w:rsid w:val="0058415E"/>
    <w:rsid w:val="0059652F"/>
    <w:rsid w:val="005A3F59"/>
    <w:rsid w:val="005F103D"/>
    <w:rsid w:val="005F24E7"/>
    <w:rsid w:val="005F409D"/>
    <w:rsid w:val="00607A47"/>
    <w:rsid w:val="00626E87"/>
    <w:rsid w:val="00630B0A"/>
    <w:rsid w:val="00635E7D"/>
    <w:rsid w:val="00650858"/>
    <w:rsid w:val="006569D9"/>
    <w:rsid w:val="006633CD"/>
    <w:rsid w:val="00667D41"/>
    <w:rsid w:val="00687300"/>
    <w:rsid w:val="0069280A"/>
    <w:rsid w:val="006B3975"/>
    <w:rsid w:val="006B42A9"/>
    <w:rsid w:val="006C1999"/>
    <w:rsid w:val="006C1AE8"/>
    <w:rsid w:val="006C1F52"/>
    <w:rsid w:val="00710E9F"/>
    <w:rsid w:val="00735E1A"/>
    <w:rsid w:val="00735F32"/>
    <w:rsid w:val="00756F2C"/>
    <w:rsid w:val="0077130D"/>
    <w:rsid w:val="007742AD"/>
    <w:rsid w:val="007752F6"/>
    <w:rsid w:val="00775C62"/>
    <w:rsid w:val="00780253"/>
    <w:rsid w:val="007929B6"/>
    <w:rsid w:val="007954F3"/>
    <w:rsid w:val="007B6971"/>
    <w:rsid w:val="007C363A"/>
    <w:rsid w:val="007C371B"/>
    <w:rsid w:val="007D575B"/>
    <w:rsid w:val="007D78E9"/>
    <w:rsid w:val="007E59F3"/>
    <w:rsid w:val="007E5AD4"/>
    <w:rsid w:val="007F1B4D"/>
    <w:rsid w:val="00816C65"/>
    <w:rsid w:val="008448BC"/>
    <w:rsid w:val="00847B2D"/>
    <w:rsid w:val="00850164"/>
    <w:rsid w:val="0086132B"/>
    <w:rsid w:val="00875DD6"/>
    <w:rsid w:val="008A424A"/>
    <w:rsid w:val="008C082C"/>
    <w:rsid w:val="008C32B3"/>
    <w:rsid w:val="008D44F9"/>
    <w:rsid w:val="008D7EC3"/>
    <w:rsid w:val="008F7674"/>
    <w:rsid w:val="00901721"/>
    <w:rsid w:val="00905328"/>
    <w:rsid w:val="00905C3C"/>
    <w:rsid w:val="00925590"/>
    <w:rsid w:val="0093031B"/>
    <w:rsid w:val="00930D13"/>
    <w:rsid w:val="0093196A"/>
    <w:rsid w:val="009323DB"/>
    <w:rsid w:val="009340B8"/>
    <w:rsid w:val="00936B6D"/>
    <w:rsid w:val="00941914"/>
    <w:rsid w:val="00951599"/>
    <w:rsid w:val="00974692"/>
    <w:rsid w:val="00997485"/>
    <w:rsid w:val="009A1C1F"/>
    <w:rsid w:val="009C151A"/>
    <w:rsid w:val="009D245F"/>
    <w:rsid w:val="009E4C68"/>
    <w:rsid w:val="009E6BAC"/>
    <w:rsid w:val="009F0B0F"/>
    <w:rsid w:val="009F12A6"/>
    <w:rsid w:val="009F3963"/>
    <w:rsid w:val="00A074DE"/>
    <w:rsid w:val="00A36285"/>
    <w:rsid w:val="00A45B44"/>
    <w:rsid w:val="00A46831"/>
    <w:rsid w:val="00A50572"/>
    <w:rsid w:val="00A5728E"/>
    <w:rsid w:val="00A92160"/>
    <w:rsid w:val="00A97E73"/>
    <w:rsid w:val="00AA04D3"/>
    <w:rsid w:val="00AA0D01"/>
    <w:rsid w:val="00AA1227"/>
    <w:rsid w:val="00AA401C"/>
    <w:rsid w:val="00AB268C"/>
    <w:rsid w:val="00B20356"/>
    <w:rsid w:val="00B2519D"/>
    <w:rsid w:val="00B42E41"/>
    <w:rsid w:val="00B5582C"/>
    <w:rsid w:val="00B75DED"/>
    <w:rsid w:val="00B87B01"/>
    <w:rsid w:val="00B92404"/>
    <w:rsid w:val="00BA0E2E"/>
    <w:rsid w:val="00BB30E2"/>
    <w:rsid w:val="00BB5462"/>
    <w:rsid w:val="00BB5EFB"/>
    <w:rsid w:val="00BC3D1C"/>
    <w:rsid w:val="00BC461D"/>
    <w:rsid w:val="00BE16EB"/>
    <w:rsid w:val="00C02739"/>
    <w:rsid w:val="00C2387A"/>
    <w:rsid w:val="00C2595A"/>
    <w:rsid w:val="00C25BFF"/>
    <w:rsid w:val="00C402E3"/>
    <w:rsid w:val="00C463FB"/>
    <w:rsid w:val="00C76453"/>
    <w:rsid w:val="00C84A6A"/>
    <w:rsid w:val="00CA5B2F"/>
    <w:rsid w:val="00CA73CB"/>
    <w:rsid w:val="00CA7DE6"/>
    <w:rsid w:val="00CB26E6"/>
    <w:rsid w:val="00CC2C05"/>
    <w:rsid w:val="00CF3844"/>
    <w:rsid w:val="00CF66AC"/>
    <w:rsid w:val="00D00BD1"/>
    <w:rsid w:val="00D179E5"/>
    <w:rsid w:val="00D26332"/>
    <w:rsid w:val="00D2691B"/>
    <w:rsid w:val="00D33851"/>
    <w:rsid w:val="00D449B7"/>
    <w:rsid w:val="00D46055"/>
    <w:rsid w:val="00D64329"/>
    <w:rsid w:val="00D6575C"/>
    <w:rsid w:val="00D66342"/>
    <w:rsid w:val="00D71DFF"/>
    <w:rsid w:val="00D73F4C"/>
    <w:rsid w:val="00D82F1E"/>
    <w:rsid w:val="00DB3D59"/>
    <w:rsid w:val="00DC56DF"/>
    <w:rsid w:val="00DD7903"/>
    <w:rsid w:val="00DE2F17"/>
    <w:rsid w:val="00DF4D94"/>
    <w:rsid w:val="00DF59E2"/>
    <w:rsid w:val="00E031DB"/>
    <w:rsid w:val="00E155F6"/>
    <w:rsid w:val="00E27A54"/>
    <w:rsid w:val="00E43725"/>
    <w:rsid w:val="00E4493A"/>
    <w:rsid w:val="00E5407B"/>
    <w:rsid w:val="00E62F95"/>
    <w:rsid w:val="00EA364D"/>
    <w:rsid w:val="00EB2A86"/>
    <w:rsid w:val="00EC0950"/>
    <w:rsid w:val="00ED3793"/>
    <w:rsid w:val="00F05E05"/>
    <w:rsid w:val="00F30A9D"/>
    <w:rsid w:val="00F3504A"/>
    <w:rsid w:val="00F53E8E"/>
    <w:rsid w:val="00F61FFD"/>
    <w:rsid w:val="00F70B27"/>
    <w:rsid w:val="00F752F9"/>
    <w:rsid w:val="00F80818"/>
    <w:rsid w:val="00FA6870"/>
    <w:rsid w:val="00FD0EE1"/>
    <w:rsid w:val="00FD73DC"/>
    <w:rsid w:val="00FE5228"/>
    <w:rsid w:val="00FE5BE7"/>
    <w:rsid w:val="00FF1EB7"/>
    <w:rsid w:val="00FF3086"/>
    <w:rsid w:val="027B1D32"/>
    <w:rsid w:val="0CBE08ED"/>
    <w:rsid w:val="17911A75"/>
    <w:rsid w:val="185D3B0F"/>
    <w:rsid w:val="2C216B5D"/>
    <w:rsid w:val="2F744065"/>
    <w:rsid w:val="302B0D83"/>
    <w:rsid w:val="32967982"/>
    <w:rsid w:val="54A61249"/>
    <w:rsid w:val="554B5269"/>
    <w:rsid w:val="59936853"/>
    <w:rsid w:val="5ADB7719"/>
    <w:rsid w:val="5B6F774E"/>
    <w:rsid w:val="5E4A544A"/>
    <w:rsid w:val="5F127565"/>
    <w:rsid w:val="5F292B45"/>
    <w:rsid w:val="62C446BE"/>
    <w:rsid w:val="698D4ECD"/>
    <w:rsid w:val="765F03E3"/>
    <w:rsid w:val="7A3D2C0D"/>
    <w:rsid w:val="7CE5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rPr>
      <w:rFonts w:ascii="仿宋_GB2312" w:eastAsia="仿宋_GB2312"/>
      <w:sz w:val="30"/>
    </w:rPr>
  </w:style>
  <w:style w:type="paragraph" w:styleId="3">
    <w:name w:val="Date"/>
    <w:basedOn w:val="1"/>
    <w:next w:val="1"/>
    <w:semiHidden/>
    <w:qFormat/>
    <w:uiPriority w:val="0"/>
    <w:rPr>
      <w:sz w:val="24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semiHidden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kern w:val="2"/>
      <w:sz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无间隔 Char"/>
    <w:basedOn w:val="8"/>
    <w:link w:val="14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4">
    <w:name w:val="No Spacing"/>
    <w:link w:val="13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正文文本 Char"/>
    <w:basedOn w:val="8"/>
    <w:link w:val="2"/>
    <w:qFormat/>
    <w:uiPriority w:val="0"/>
    <w:rPr>
      <w:rFonts w:ascii="仿宋_GB2312" w:eastAsia="仿宋_GB2312"/>
      <w:kern w:val="2"/>
      <w:sz w:val="3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sdybgs</Company>
  <Pages>6</Pages>
  <Words>3252</Words>
  <Characters>3524</Characters>
  <Lines>23</Lines>
  <Paragraphs>6</Paragraphs>
  <TotalTime>32</TotalTime>
  <ScaleCrop>false</ScaleCrop>
  <LinksUpToDate>false</LinksUpToDate>
  <CharactersWithSpaces>3763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2023-03-11T09:09:00Z</dcterms:created>
  <dc:creator>sjc</dc:creator>
  <cp:lastModifiedBy>Administrator</cp:lastModifiedBy>
  <cp:lastPrinted>2026-04-14T08:34:00Z</cp:lastPrinted>
  <dcterms:modified xsi:type="dcterms:W3CDTF">2026-04-15T06:56:00Z</dcterms:modified>
  <dc:title>招标文件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eyJoZGlkIjoiNTJjNTFiYWFhMzg2ZjYwODBiYjJiOTgzYjg0NmE1ZjAifQ==</vt:lpwstr>
  </property>
  <property fmtid="{D5CDD505-2E9C-101B-9397-08002B2CF9AE}" pid="4" name="ICV">
    <vt:lpwstr>5A292D3C03F341B681C1F7F18381A982_12</vt:lpwstr>
  </property>
</Properties>
</file>