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FB9" w:rsidRDefault="00245230">
      <w:pPr>
        <w:rPr>
          <w:b/>
        </w:rPr>
      </w:pPr>
      <w:r w:rsidRPr="00245230">
        <w:rPr>
          <w:rFonts w:hint="eastAsia"/>
          <w:b/>
        </w:rPr>
        <w:t>心系投资者</w:t>
      </w:r>
      <w:r w:rsidRPr="00245230">
        <w:rPr>
          <w:b/>
        </w:rPr>
        <w:t xml:space="preserve"> 携手共行动 | 5.15全国投资者保护宣传日</w:t>
      </w:r>
      <w:r>
        <w:rPr>
          <w:rFonts w:hint="eastAsia"/>
          <w:b/>
        </w:rPr>
        <w:t>-山东药玻</w:t>
      </w:r>
    </w:p>
    <w:p w:rsidR="00DA7A0F" w:rsidRPr="00982842" w:rsidRDefault="00DA7A0F" w:rsidP="00DA7A0F">
      <w:pPr>
        <w:jc w:val="center"/>
        <w:rPr>
          <w:b/>
        </w:rPr>
      </w:pPr>
      <w:r w:rsidRPr="00982842">
        <w:rPr>
          <w:b/>
        </w:rPr>
        <w:t>——</w:t>
      </w:r>
      <w:r w:rsidRPr="00982842">
        <w:rPr>
          <w:b/>
        </w:rPr>
        <w:t>前言</w:t>
      </w:r>
      <w:r w:rsidRPr="00982842">
        <w:rPr>
          <w:b/>
        </w:rPr>
        <w:t>——</w:t>
      </w:r>
    </w:p>
    <w:p w:rsidR="00DA7A0F" w:rsidRPr="00DA7A0F" w:rsidRDefault="00DA7A0F" w:rsidP="00DA7A0F">
      <w:pPr>
        <w:ind w:firstLineChars="200" w:firstLine="560"/>
        <w:rPr>
          <w:rFonts w:hint="eastAsia"/>
        </w:rPr>
      </w:pPr>
      <w:r w:rsidRPr="00DA7A0F">
        <w:t>为进一步倡导理性投资文化，切实维护广大投资者合法权益，中国证监会将每年5月15日设立为</w:t>
      </w:r>
      <w:r w:rsidRPr="00DA7A0F">
        <w:t>“</w:t>
      </w:r>
      <w:r w:rsidRPr="00DA7A0F">
        <w:t>全国投资者保护宣传日</w:t>
      </w:r>
      <w:r w:rsidRPr="00DA7A0F">
        <w:t>”</w:t>
      </w:r>
      <w:r w:rsidRPr="00DA7A0F">
        <w:t>，在全国组织动员各方上下联动，积极开展形式多样的投资者保护活动，让投资者保护理念深入人心，成为大家的自觉行动。2023年</w:t>
      </w:r>
      <w:r w:rsidRPr="00DA7A0F">
        <w:t>“</w:t>
      </w:r>
      <w:r w:rsidRPr="00DA7A0F">
        <w:t>5</w:t>
      </w:r>
      <w:r w:rsidRPr="00DA7A0F">
        <w:t>·</w:t>
      </w:r>
      <w:r w:rsidRPr="00DA7A0F">
        <w:t>15</w:t>
      </w:r>
      <w:r w:rsidRPr="00DA7A0F">
        <w:rPr>
          <w:rFonts w:ascii="Calibri" w:hAnsi="Calibri" w:cs="Calibri"/>
        </w:rPr>
        <w:t> </w:t>
      </w:r>
      <w:r w:rsidRPr="00DA7A0F">
        <w:t>全国投资者保护宣传日</w:t>
      </w:r>
      <w:r w:rsidRPr="00DA7A0F">
        <w:t>”</w:t>
      </w:r>
      <w:r w:rsidRPr="00DA7A0F">
        <w:t>即将开始，</w:t>
      </w:r>
      <w:r>
        <w:rPr>
          <w:rFonts w:hint="eastAsia"/>
        </w:rPr>
        <w:t>山东药玻</w:t>
      </w:r>
      <w:r w:rsidRPr="00DA7A0F">
        <w:t>将围绕</w:t>
      </w:r>
      <w:r w:rsidRPr="00DA7A0F">
        <w:t>“</w:t>
      </w:r>
      <w:r w:rsidRPr="00DA7A0F">
        <w:t>心系投资者，携手共行动</w:t>
      </w:r>
      <w:r w:rsidRPr="00DA7A0F">
        <w:t>”</w:t>
      </w:r>
      <w:r w:rsidRPr="00DA7A0F">
        <w:t>的主题，持续推出投资者知识分享</w:t>
      </w:r>
      <w:r>
        <w:rPr>
          <w:rFonts w:hint="eastAsia"/>
        </w:rPr>
        <w:t>。</w:t>
      </w:r>
    </w:p>
    <w:p w:rsidR="00533066" w:rsidRDefault="00533066">
      <w:pPr>
        <w:rPr>
          <w:b/>
        </w:rPr>
      </w:pPr>
      <w:r>
        <w:rPr>
          <w:noProof/>
        </w:rPr>
        <w:drawing>
          <wp:inline distT="0" distB="0" distL="0" distR="0">
            <wp:extent cx="5274310" cy="2966799"/>
            <wp:effectExtent l="0" t="0" r="2540" b="5080"/>
            <wp:docPr id="1" name="图片 1" descr="D:\企业微信\WXWork\1688853656668496\Cache\Image\2023-05\48f148d5-a7bb-4f9c-9acd-5322f40713b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企业微信\WXWork\1688853656668496\Cache\Image\2023-05\48f148d5-a7bb-4f9c-9acd-5322f40713b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4310" cy="2966799"/>
                    </a:xfrm>
                    <a:prstGeom prst="rect">
                      <a:avLst/>
                    </a:prstGeom>
                    <a:noFill/>
                    <a:ln>
                      <a:noFill/>
                    </a:ln>
                  </pic:spPr>
                </pic:pic>
              </a:graphicData>
            </a:graphic>
          </wp:inline>
        </w:drawing>
      </w:r>
    </w:p>
    <w:p w:rsidR="00982842" w:rsidRPr="00982842" w:rsidRDefault="00DA7A0F" w:rsidP="00982842">
      <w:pPr>
        <w:jc w:val="center"/>
        <w:rPr>
          <w:rFonts w:ascii="Calibri" w:eastAsia="仿宋" w:hAnsi="Calibri" w:cs="Calibri"/>
          <w:b/>
        </w:rPr>
      </w:pPr>
      <w:r w:rsidRPr="00982842">
        <w:rPr>
          <w:rFonts w:ascii="仿宋" w:eastAsia="仿宋"/>
          <w:b/>
        </w:rPr>
        <w:t>——“场外配资”知多少——</w:t>
      </w:r>
    </w:p>
    <w:p w:rsidR="00982842" w:rsidRDefault="00DA7A0F" w:rsidP="00533066">
      <w:pPr>
        <w:ind w:firstLineChars="200" w:firstLine="560"/>
        <w:rPr>
          <w:rFonts w:ascii="仿宋" w:eastAsia="仿宋"/>
        </w:rPr>
      </w:pPr>
      <w:r w:rsidRPr="00DA7A0F">
        <w:rPr>
          <w:rFonts w:ascii="仿宋" w:eastAsia="仿宋"/>
        </w:rPr>
        <w:t>（一）</w:t>
      </w:r>
      <w:r w:rsidRPr="00DA7A0F">
        <w:rPr>
          <w:rFonts w:ascii="Calibri" w:eastAsia="仿宋" w:hAnsi="Calibri" w:cs="Calibri"/>
        </w:rPr>
        <w:t>  </w:t>
      </w:r>
      <w:r w:rsidRPr="00DA7A0F">
        <w:rPr>
          <w:rFonts w:ascii="仿宋" w:eastAsia="仿宋"/>
        </w:rPr>
        <w:t>什么是场外配资？</w:t>
      </w:r>
    </w:p>
    <w:p w:rsidR="00982842" w:rsidRDefault="00DA7A0F" w:rsidP="00533066">
      <w:pPr>
        <w:ind w:firstLineChars="200" w:firstLine="560"/>
        <w:rPr>
          <w:rFonts w:ascii="Calibri" w:eastAsia="仿宋" w:hAnsi="Calibri" w:cs="Calibri"/>
        </w:rPr>
      </w:pPr>
      <w:r w:rsidRPr="00DA7A0F">
        <w:rPr>
          <w:rFonts w:ascii="仿宋" w:eastAsia="仿宋"/>
        </w:rPr>
        <w:t>“场外配资”是指证券公司以外不具备证券融资业务资质的机构或个人向投资者出借资金，组织投资者在特定证券账户上使用借用资金及保证金进行股票交易，并收取利息、费用或收益分成的活动。</w:t>
      </w:r>
      <w:r w:rsidRPr="00DA7A0F">
        <w:rPr>
          <w:rFonts w:ascii="Calibri" w:eastAsia="仿宋" w:hAnsi="Calibri" w:cs="Calibri"/>
        </w:rPr>
        <w:t> </w:t>
      </w:r>
    </w:p>
    <w:p w:rsidR="00982842" w:rsidRDefault="00DA7A0F" w:rsidP="00533066">
      <w:pPr>
        <w:ind w:firstLineChars="200" w:firstLine="560"/>
        <w:rPr>
          <w:rFonts w:ascii="仿宋" w:eastAsia="仿宋"/>
        </w:rPr>
      </w:pPr>
      <w:r w:rsidRPr="00DA7A0F">
        <w:rPr>
          <w:rFonts w:ascii="仿宋" w:eastAsia="仿宋"/>
        </w:rPr>
        <w:t>（二）</w:t>
      </w:r>
      <w:r w:rsidRPr="00DA7A0F">
        <w:rPr>
          <w:rFonts w:ascii="Calibri" w:eastAsia="仿宋" w:hAnsi="Calibri" w:cs="Calibri"/>
        </w:rPr>
        <w:t>  </w:t>
      </w:r>
      <w:r w:rsidRPr="00DA7A0F">
        <w:rPr>
          <w:rFonts w:ascii="仿宋" w:eastAsia="仿宋"/>
        </w:rPr>
        <w:t>场外配资典型案例</w:t>
      </w:r>
    </w:p>
    <w:p w:rsidR="00982842" w:rsidRDefault="00DA7A0F" w:rsidP="00533066">
      <w:pPr>
        <w:ind w:firstLineChars="200" w:firstLine="560"/>
        <w:rPr>
          <w:rFonts w:ascii="Calibri" w:eastAsia="仿宋" w:hAnsi="Calibri" w:cs="Calibri"/>
        </w:rPr>
      </w:pPr>
      <w:r w:rsidRPr="00DA7A0F">
        <w:rPr>
          <w:rFonts w:ascii="仿宋" w:eastAsia="仿宋"/>
        </w:rPr>
        <w:lastRenderedPageBreak/>
        <w:t>案例一：吴某非法经营案（出借账户模式的场外配资）</w:t>
      </w:r>
      <w:r w:rsidRPr="00DA7A0F">
        <w:rPr>
          <w:rFonts w:ascii="Calibri" w:eastAsia="仿宋" w:hAnsi="Calibri" w:cs="Calibri"/>
        </w:rPr>
        <w:t>       </w:t>
      </w:r>
    </w:p>
    <w:p w:rsidR="00982842" w:rsidRDefault="00DA7A0F" w:rsidP="00533066">
      <w:pPr>
        <w:ind w:firstLineChars="200" w:firstLine="560"/>
        <w:rPr>
          <w:rFonts w:ascii="Calibri" w:eastAsia="仿宋" w:hAnsi="Calibri" w:cs="Calibri"/>
        </w:rPr>
      </w:pPr>
      <w:r w:rsidRPr="00DA7A0F">
        <w:rPr>
          <w:rFonts w:ascii="仿宋" w:eastAsia="仿宋"/>
        </w:rPr>
        <w:t>【基本案情】2019年10月起，吴某经营广东益升信息技术咨询有限公司（简称益升公司），研发益升网平台，利用证券公司客户的账户为炒股客户提供配资服务。炒股客户登录益升网注册为会员，将“保证金”转入益升公司指定银行账户，益升公司为炒股客户提供“保证金”金额1至10倍的配资资金，并按照“按天策略、免息策略、按月策略”的计算方式收取炒股客户的配资利息、交易手续费，从中牟取利益。从2019年11月至2020年3月，益升公司共收取炒股客户以“保证金”名义投入的资金约38,114,831元。</w:t>
      </w:r>
      <w:r w:rsidRPr="00DA7A0F">
        <w:rPr>
          <w:rFonts w:ascii="Calibri" w:eastAsia="仿宋" w:hAnsi="Calibri" w:cs="Calibri"/>
        </w:rPr>
        <w:t>       </w:t>
      </w:r>
    </w:p>
    <w:p w:rsidR="00982842" w:rsidRDefault="00DA7A0F" w:rsidP="00533066">
      <w:pPr>
        <w:ind w:firstLineChars="200" w:firstLine="560"/>
        <w:rPr>
          <w:rFonts w:ascii="Calibri" w:eastAsia="仿宋" w:hAnsi="Calibri" w:cs="Calibri"/>
        </w:rPr>
      </w:pPr>
      <w:r w:rsidRPr="00DA7A0F">
        <w:rPr>
          <w:rFonts w:ascii="仿宋" w:eastAsia="仿宋"/>
        </w:rPr>
        <w:t>【裁判结果】法院认为，被告人吴某违反国家规定，未经国家有关主管部门批准非法经营证券业务，扰乱市场秩序，情节特别严重，其行为已构成非法经营罪。据此，判决被告人吴某犯非法经营罪，判处有期徒刑三年六个月，并处罚金三十万元。</w:t>
      </w:r>
      <w:r w:rsidRPr="00DA7A0F">
        <w:rPr>
          <w:rFonts w:ascii="Calibri" w:eastAsia="仿宋" w:hAnsi="Calibri" w:cs="Calibri"/>
        </w:rPr>
        <w:t> </w:t>
      </w:r>
      <w:r w:rsidRPr="00DA7A0F">
        <w:rPr>
          <w:rFonts w:ascii="仿宋" w:eastAsia="仿宋"/>
        </w:rPr>
        <w:t>一审案号：（2020）粤0605邢初3368号</w:t>
      </w:r>
      <w:r w:rsidRPr="00DA7A0F">
        <w:rPr>
          <w:rFonts w:ascii="Calibri" w:eastAsia="仿宋" w:hAnsi="Calibri" w:cs="Calibri"/>
        </w:rPr>
        <w:t> </w:t>
      </w:r>
    </w:p>
    <w:p w:rsidR="00982842" w:rsidRDefault="00DA7A0F" w:rsidP="00533066">
      <w:pPr>
        <w:ind w:firstLineChars="200" w:firstLine="560"/>
        <w:rPr>
          <w:rFonts w:ascii="Calibri" w:eastAsia="仿宋" w:hAnsi="Calibri" w:cs="Calibri"/>
        </w:rPr>
      </w:pPr>
      <w:r w:rsidRPr="00DA7A0F">
        <w:rPr>
          <w:rFonts w:ascii="仿宋" w:eastAsia="仿宋"/>
        </w:rPr>
        <w:t>案例二：林某、江某、赖某、杜某非法经营案（系统分仓模式的场外配资）</w:t>
      </w:r>
      <w:r w:rsidRPr="00DA7A0F">
        <w:rPr>
          <w:rFonts w:ascii="Calibri" w:eastAsia="仿宋" w:hAnsi="Calibri" w:cs="Calibri"/>
        </w:rPr>
        <w:t>       </w:t>
      </w:r>
    </w:p>
    <w:p w:rsidR="00982842" w:rsidRDefault="00DA7A0F" w:rsidP="00533066">
      <w:pPr>
        <w:ind w:firstLineChars="200" w:firstLine="560"/>
        <w:rPr>
          <w:rFonts w:ascii="仿宋" w:eastAsia="仿宋"/>
        </w:rPr>
      </w:pPr>
      <w:r w:rsidRPr="00DA7A0F">
        <w:rPr>
          <w:rFonts w:ascii="仿宋" w:eastAsia="仿宋"/>
        </w:rPr>
        <w:t>【基本案情】2018年10月起，被告人林某作为福建万千恒业投资有限公司（简称万千恒业公司）的实际控制人，被告人江某、赖某、杜某作为各业务部总监，利用“涨股宝APP”为客户提供股票交易账户（系子账户）。客户在“涨股宝APP”里的子账户上操作股票交易，万千恒业公司在券商开设的母账户实时同步在证券交易所进行交易。同时，万千恒业公司为客户提供本金3至8倍杠杆的配资资金，并按</w:t>
      </w:r>
      <w:r w:rsidRPr="00DA7A0F">
        <w:rPr>
          <w:rFonts w:ascii="仿宋" w:eastAsia="仿宋"/>
        </w:rPr>
        <w:lastRenderedPageBreak/>
        <w:t>配资额收</w:t>
      </w:r>
      <w:r w:rsidRPr="00DA7A0F">
        <w:rPr>
          <w:rFonts w:ascii="仿宋" w:eastAsia="仿宋" w:hint="eastAsia"/>
        </w:rPr>
        <w:t>取利息。万千恒业公司通过赚取利息差和交易佣金差获利。</w:t>
      </w:r>
    </w:p>
    <w:p w:rsidR="00982842" w:rsidRDefault="00DA7A0F" w:rsidP="00533066">
      <w:pPr>
        <w:ind w:firstLineChars="200" w:firstLine="560"/>
        <w:rPr>
          <w:rFonts w:ascii="Calibri" w:eastAsia="仿宋" w:hAnsi="Calibri" w:cs="Calibri"/>
        </w:rPr>
      </w:pPr>
      <w:r w:rsidRPr="00DA7A0F">
        <w:rPr>
          <w:rFonts w:ascii="仿宋" w:eastAsia="仿宋" w:hint="eastAsia"/>
        </w:rPr>
        <w:t>【裁判结果】法院认为，被告人林某、赖某、江某、杜某未经国家有关主管部门批准非法经营证券业务，扰乱市场秩序，情节特别严重，均构成非法经营罪。被告人林某在共同犯罪中起主要作用，系主犯；被告人赖某、杜某、江某在共同犯罪中起次要、辅助作用，系从犯，依法可从轻或减轻处罚。据此，判决被告人林某犯非法经营罪，判处有期徒刑六年，并处罚金一百三十八万元；被告人赖某犯非法经营罪，判处有期徒刑一年九个月，并处罚金十六万元；被告人杜某犯非法经营罪，判处有期徒刑一年九个月，并处罚金</w:t>
      </w:r>
      <w:r w:rsidRPr="00DA7A0F">
        <w:rPr>
          <w:rFonts w:ascii="仿宋" w:eastAsia="仿宋"/>
        </w:rPr>
        <w:t>十四万元；被告人江某犯非法经营罪，判处有期徒刑一年九个月，并处罚金九万元。</w:t>
      </w:r>
      <w:r w:rsidRPr="00DA7A0F">
        <w:rPr>
          <w:rFonts w:ascii="Calibri" w:eastAsia="仿宋" w:hAnsi="Calibri" w:cs="Calibri"/>
        </w:rPr>
        <w:t> </w:t>
      </w:r>
      <w:r w:rsidRPr="00DA7A0F">
        <w:rPr>
          <w:rFonts w:ascii="仿宋" w:eastAsia="仿宋"/>
        </w:rPr>
        <w:t>一审案号：（2021）闽0103邢初164号</w:t>
      </w:r>
      <w:r w:rsidRPr="00DA7A0F">
        <w:rPr>
          <w:rFonts w:ascii="Calibri" w:eastAsia="仿宋" w:hAnsi="Calibri" w:cs="Calibri"/>
        </w:rPr>
        <w:t> </w:t>
      </w:r>
    </w:p>
    <w:p w:rsidR="00982842" w:rsidRDefault="00DA7A0F" w:rsidP="00533066">
      <w:pPr>
        <w:ind w:firstLineChars="200" w:firstLine="560"/>
        <w:rPr>
          <w:rFonts w:ascii="仿宋" w:eastAsia="仿宋"/>
        </w:rPr>
      </w:pPr>
      <w:r w:rsidRPr="00DA7A0F">
        <w:rPr>
          <w:rFonts w:ascii="仿宋" w:eastAsia="仿宋"/>
        </w:rPr>
        <w:t>案例三：王某诈骗案（虚拟盘诈骗模式的场外配资）</w:t>
      </w:r>
    </w:p>
    <w:p w:rsidR="00982842" w:rsidRDefault="00DA7A0F" w:rsidP="00533066">
      <w:pPr>
        <w:ind w:firstLineChars="200" w:firstLine="560"/>
        <w:rPr>
          <w:rFonts w:ascii="Calibri" w:eastAsia="仿宋" w:hAnsi="Calibri" w:cs="Calibri"/>
        </w:rPr>
      </w:pPr>
      <w:r w:rsidRPr="00DA7A0F">
        <w:rPr>
          <w:rFonts w:ascii="仿宋" w:eastAsia="仿宋"/>
        </w:rPr>
        <w:t>【基本案情】2020年4月，被告人王某通过互联网购买并建立“吉吉策略”虚假股票配资平台，并成立上海红泽投资管理有限公司。王某以配资买卖股票可获高额回报为诱惑，诱骗他人向其公司账户入金进行股票投资，但被害人投入的资金并未进入真正的证券交易所，王某以此骗取被害人的投资款。2020年6月至8月，被害人向“吉吉策略”共计入金1,345,021元，出金328,646元，亏损1,016,375元。</w:t>
      </w:r>
      <w:r w:rsidRPr="00DA7A0F">
        <w:rPr>
          <w:rFonts w:ascii="Calibri" w:eastAsia="仿宋" w:hAnsi="Calibri" w:cs="Calibri"/>
        </w:rPr>
        <w:t>       </w:t>
      </w:r>
    </w:p>
    <w:p w:rsidR="00982842" w:rsidRDefault="00DA7A0F" w:rsidP="00533066">
      <w:pPr>
        <w:ind w:firstLineChars="200" w:firstLine="560"/>
        <w:rPr>
          <w:rFonts w:ascii="Calibri" w:eastAsia="仿宋" w:hAnsi="Calibri" w:cs="Calibri"/>
        </w:rPr>
      </w:pPr>
      <w:r w:rsidRPr="00DA7A0F">
        <w:rPr>
          <w:rFonts w:ascii="仿宋" w:eastAsia="仿宋"/>
        </w:rPr>
        <w:t>【裁判结果】法院认为，被告人王某以非法占有为目的，采用虚构事实、隐瞒真相的方法骗取被害人财物，数额特别巨大，其行为已构成诈骗罪，应予处罚。据此，判决王某犯诈骗罪，判处有期徒刑十</w:t>
      </w:r>
      <w:r w:rsidRPr="00DA7A0F">
        <w:rPr>
          <w:rFonts w:ascii="仿宋" w:eastAsia="仿宋"/>
        </w:rPr>
        <w:lastRenderedPageBreak/>
        <w:t>年，并处罚金十万元。一审判决作出后，王某提出上诉，二审法院维持原判。</w:t>
      </w:r>
      <w:r w:rsidR="00982842">
        <w:rPr>
          <w:rFonts w:ascii="Calibri" w:eastAsia="仿宋" w:hAnsi="Calibri" w:cs="Calibri"/>
        </w:rPr>
        <w:t>  </w:t>
      </w:r>
      <w:r w:rsidRPr="00DA7A0F">
        <w:rPr>
          <w:rFonts w:ascii="仿宋" w:eastAsia="仿宋"/>
        </w:rPr>
        <w:t>一审案号：（2020）沪0113邢初2120号二审案号：（2021）沪02刑终385号</w:t>
      </w:r>
      <w:r w:rsidRPr="00DA7A0F">
        <w:rPr>
          <w:rFonts w:ascii="Calibri" w:eastAsia="仿宋" w:hAnsi="Calibri" w:cs="Calibri"/>
        </w:rPr>
        <w:t> </w:t>
      </w:r>
    </w:p>
    <w:p w:rsidR="00982842" w:rsidRDefault="00DA7A0F" w:rsidP="00533066">
      <w:pPr>
        <w:ind w:firstLineChars="200" w:firstLine="560"/>
        <w:rPr>
          <w:rFonts w:ascii="仿宋" w:eastAsia="仿宋"/>
        </w:rPr>
      </w:pPr>
      <w:r w:rsidRPr="00DA7A0F">
        <w:rPr>
          <w:rFonts w:ascii="仿宋" w:eastAsia="仿宋"/>
        </w:rPr>
        <w:t>（三）如何防范场外配资？</w:t>
      </w:r>
    </w:p>
    <w:p w:rsidR="00982842" w:rsidRDefault="00DA7A0F" w:rsidP="00533066">
      <w:pPr>
        <w:ind w:firstLineChars="200" w:firstLine="560"/>
        <w:rPr>
          <w:rFonts w:ascii="仿宋" w:eastAsia="仿宋"/>
        </w:rPr>
      </w:pPr>
      <w:r w:rsidRPr="00DA7A0F">
        <w:rPr>
          <w:rFonts w:ascii="仿宋" w:eastAsia="仿宋"/>
        </w:rPr>
        <w:t>1.拒绝参与场外配资场外配资机构均不具备经营证券期货业务资质，投资者需要融资融券服务需要到正规的证券经营机构办理。</w:t>
      </w:r>
    </w:p>
    <w:p w:rsidR="00982842" w:rsidRDefault="00DA7A0F" w:rsidP="00533066">
      <w:pPr>
        <w:ind w:firstLineChars="200" w:firstLine="560"/>
        <w:rPr>
          <w:rFonts w:ascii="仿宋" w:eastAsia="仿宋"/>
        </w:rPr>
      </w:pPr>
      <w:r w:rsidRPr="00DA7A0F">
        <w:rPr>
          <w:rFonts w:ascii="仿宋" w:eastAsia="仿宋"/>
        </w:rPr>
        <w:t>2.警惕虚拟盘交易有的场外配资甚至采用“虚拟盘”等方式，并承诺高收益、高回报，该行为涉嫌从事诈骗等违法犯罪活动。</w:t>
      </w:r>
    </w:p>
    <w:p w:rsidR="00982842" w:rsidRDefault="00DA7A0F" w:rsidP="00533066">
      <w:pPr>
        <w:ind w:firstLineChars="200" w:firstLine="560"/>
        <w:rPr>
          <w:rFonts w:ascii="Calibri" w:eastAsia="仿宋" w:hAnsi="Calibri" w:cs="Calibri"/>
        </w:rPr>
      </w:pPr>
      <w:r w:rsidRPr="00DA7A0F">
        <w:rPr>
          <w:rFonts w:ascii="仿宋" w:eastAsia="仿宋"/>
        </w:rPr>
        <w:t>3.发现线索及时报案当投资者资产受到不法侵害时，如因参与“场外配资”上当受骗，请及时向当地证券监督管理机构或公安机关报案。</w:t>
      </w:r>
      <w:r w:rsidRPr="00DA7A0F">
        <w:rPr>
          <w:rFonts w:ascii="Calibri" w:eastAsia="仿宋" w:hAnsi="Calibri" w:cs="Calibri"/>
        </w:rPr>
        <w:t> </w:t>
      </w:r>
    </w:p>
    <w:p w:rsidR="00982842" w:rsidRPr="00982842" w:rsidRDefault="00DA7A0F" w:rsidP="00982842">
      <w:pPr>
        <w:jc w:val="center"/>
        <w:rPr>
          <w:rFonts w:ascii="仿宋" w:eastAsia="仿宋"/>
          <w:b/>
        </w:rPr>
      </w:pPr>
      <w:r w:rsidRPr="00982842">
        <w:rPr>
          <w:rFonts w:ascii="仿宋" w:eastAsia="仿宋" w:cs="仿宋" w:hint="eastAsia"/>
          <w:b/>
        </w:rPr>
        <w:t>——</w:t>
      </w:r>
      <w:r w:rsidRPr="00982842">
        <w:rPr>
          <w:rFonts w:ascii="仿宋" w:eastAsia="仿宋"/>
          <w:b/>
        </w:rPr>
        <w:t>结语——</w:t>
      </w:r>
    </w:p>
    <w:p w:rsidR="00982842" w:rsidRDefault="00DA7A0F" w:rsidP="00982842">
      <w:pPr>
        <w:ind w:firstLineChars="200" w:firstLine="560"/>
        <w:rPr>
          <w:rFonts w:ascii="仿宋" w:eastAsia="仿宋"/>
          <w:b/>
        </w:rPr>
      </w:pPr>
      <w:r w:rsidRPr="00DA7A0F">
        <w:rPr>
          <w:rFonts w:ascii="仿宋" w:eastAsia="仿宋"/>
        </w:rPr>
        <w:t>场外配资游离于监管之外，高杠杆属性放大市场波动，扰乱资本市场正常秩序，是违法活动。参与场外配资可能会血本无归，广大投资者一定要提高防范意识，通过合法渠道参与股票、期货交易，远离场外配资</w:t>
      </w:r>
      <w:r w:rsidRPr="00DA7A0F">
        <w:rPr>
          <w:rFonts w:ascii="仿宋" w:eastAsia="仿宋" w:hint="eastAsia"/>
        </w:rPr>
        <w:t>，保护自身财产安全。</w:t>
      </w:r>
    </w:p>
    <w:p w:rsidR="00E74867" w:rsidRPr="00533066" w:rsidRDefault="00E74867" w:rsidP="00982842">
      <w:pPr>
        <w:ind w:firstLineChars="200" w:firstLine="480"/>
        <w:rPr>
          <w:rFonts w:hint="eastAsia"/>
          <w:sz w:val="24"/>
          <w:szCs w:val="24"/>
        </w:rPr>
      </w:pPr>
      <w:bookmarkStart w:id="0" w:name="_GoBack"/>
      <w:r w:rsidRPr="00E74867">
        <w:rPr>
          <w:noProof/>
          <w:sz w:val="24"/>
          <w:szCs w:val="24"/>
        </w:rPr>
        <w:lastRenderedPageBreak/>
        <w:drawing>
          <wp:inline distT="0" distB="0" distL="0" distR="0">
            <wp:extent cx="5057775" cy="6979691"/>
            <wp:effectExtent l="0" t="0" r="0" b="0"/>
            <wp:docPr id="2" name="图片 2" descr="C:\Users\lenovo\Desktop\非法证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esktop\非法证券.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59574" cy="6982173"/>
                    </a:xfrm>
                    <a:prstGeom prst="rect">
                      <a:avLst/>
                    </a:prstGeom>
                    <a:noFill/>
                    <a:ln>
                      <a:noFill/>
                    </a:ln>
                  </pic:spPr>
                </pic:pic>
              </a:graphicData>
            </a:graphic>
          </wp:inline>
        </w:drawing>
      </w:r>
      <w:bookmarkEnd w:id="0"/>
    </w:p>
    <w:sectPr w:rsidR="00E74867" w:rsidRPr="005330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07C" w:rsidRDefault="008A307C" w:rsidP="00DA7A0F">
      <w:r>
        <w:separator/>
      </w:r>
    </w:p>
  </w:endnote>
  <w:endnote w:type="continuationSeparator" w:id="0">
    <w:p w:rsidR="008A307C" w:rsidRDefault="008A307C" w:rsidP="00DA7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07C" w:rsidRDefault="008A307C" w:rsidP="00DA7A0F">
      <w:r>
        <w:separator/>
      </w:r>
    </w:p>
  </w:footnote>
  <w:footnote w:type="continuationSeparator" w:id="0">
    <w:p w:rsidR="008A307C" w:rsidRDefault="008A307C" w:rsidP="00DA7A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1ED"/>
    <w:rsid w:val="001D7C4D"/>
    <w:rsid w:val="00245230"/>
    <w:rsid w:val="00392A6A"/>
    <w:rsid w:val="003F3770"/>
    <w:rsid w:val="00423DAD"/>
    <w:rsid w:val="00500FB9"/>
    <w:rsid w:val="005010C7"/>
    <w:rsid w:val="00533066"/>
    <w:rsid w:val="007D6980"/>
    <w:rsid w:val="00881442"/>
    <w:rsid w:val="008A307C"/>
    <w:rsid w:val="00982842"/>
    <w:rsid w:val="00C131ED"/>
    <w:rsid w:val="00D22BD8"/>
    <w:rsid w:val="00D76808"/>
    <w:rsid w:val="00DA7A0F"/>
    <w:rsid w:val="00E400C9"/>
    <w:rsid w:val="00E72E4C"/>
    <w:rsid w:val="00E74867"/>
    <w:rsid w:val="00F56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A8B73"/>
  <w15:chartTrackingRefBased/>
  <w15:docId w15:val="{C29DDC9C-5484-4C1E-80D0-80365D061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仿宋_GB2312" w:eastAsia="仿宋_GB2312" w:hAnsi="仿宋" w:cs="Times New Roman"/>
        <w:color w:val="000000"/>
        <w:kern w:val="2"/>
        <w:sz w:val="28"/>
        <w:szCs w:val="28"/>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7A0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A7A0F"/>
    <w:rPr>
      <w:sz w:val="18"/>
      <w:szCs w:val="18"/>
    </w:rPr>
  </w:style>
  <w:style w:type="paragraph" w:styleId="a5">
    <w:name w:val="footer"/>
    <w:basedOn w:val="a"/>
    <w:link w:val="a6"/>
    <w:uiPriority w:val="99"/>
    <w:unhideWhenUsed/>
    <w:rsid w:val="00DA7A0F"/>
    <w:pPr>
      <w:tabs>
        <w:tab w:val="center" w:pos="4153"/>
        <w:tab w:val="right" w:pos="8306"/>
      </w:tabs>
      <w:snapToGrid w:val="0"/>
      <w:jc w:val="left"/>
    </w:pPr>
    <w:rPr>
      <w:sz w:val="18"/>
      <w:szCs w:val="18"/>
    </w:rPr>
  </w:style>
  <w:style w:type="character" w:customStyle="1" w:styleId="a6">
    <w:name w:val="页脚 字符"/>
    <w:basedOn w:val="a0"/>
    <w:link w:val="a5"/>
    <w:uiPriority w:val="99"/>
    <w:rsid w:val="00DA7A0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299</Words>
  <Characters>1710</Characters>
  <Application>Microsoft Office Word</Application>
  <DocSecurity>0</DocSecurity>
  <Lines>14</Lines>
  <Paragraphs>4</Paragraphs>
  <ScaleCrop>false</ScaleCrop>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9</cp:revision>
  <dcterms:created xsi:type="dcterms:W3CDTF">2023-05-13T02:52:00Z</dcterms:created>
  <dcterms:modified xsi:type="dcterms:W3CDTF">2023-05-13T03:20:00Z</dcterms:modified>
</cp:coreProperties>
</file>